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FB8F43" w14:textId="5D20EBBF" w:rsidR="006C64AE" w:rsidRDefault="006C64AE" w:rsidP="009964AC">
      <w:pPr>
        <w:rPr>
          <w:rFonts w:ascii="Times New Roman" w:hAnsi="Times New Roman" w:cs="Times New Roman"/>
          <w:sz w:val="20"/>
          <w:szCs w:val="20"/>
        </w:rPr>
      </w:pPr>
    </w:p>
    <w:p w14:paraId="5300ED6E" w14:textId="130CFD1B" w:rsidR="001E396B" w:rsidRPr="001E396B" w:rsidRDefault="001E396B" w:rsidP="009964AC">
      <w:pPr>
        <w:rPr>
          <w:rFonts w:ascii="Calibri" w:eastAsia="Times New Roman" w:hAnsi="Calibri" w:cs="Calibri"/>
          <w:b/>
          <w:bCs/>
          <w:sz w:val="24"/>
          <w:szCs w:val="24"/>
          <w:lang w:eastAsia="en-GB"/>
        </w:rPr>
      </w:pPr>
      <w:r w:rsidRPr="001E396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Premier League Pitch Marking - End of Season Report </w:t>
      </w:r>
      <w:r w:rsidRPr="001E396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>–</w:t>
      </w:r>
      <w:r w:rsidRPr="001E396B">
        <w:rPr>
          <w:rFonts w:ascii="Calibri" w:eastAsia="Times New Roman" w:hAnsi="Calibri" w:cs="Calibri"/>
          <w:b/>
          <w:bCs/>
          <w:sz w:val="24"/>
          <w:szCs w:val="24"/>
          <w:lang w:eastAsia="en-GB"/>
        </w:rPr>
        <w:t xml:space="preserve"> 2021</w:t>
      </w:r>
    </w:p>
    <w:p w14:paraId="3F7A5465" w14:textId="77777777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2312418D" w14:textId="64FC96A3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  <w:r w:rsidRPr="001E396B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2D6D1D62" wp14:editId="64C4A4BA">
            <wp:extent cx="6645910" cy="5540991"/>
            <wp:effectExtent l="0" t="0" r="2540" b="3175"/>
            <wp:docPr id="9" name="Chart 9">
              <a:extLst xmlns:a="http://schemas.openxmlformats.org/drawingml/2006/main">
                <a:ext uri="{FF2B5EF4-FFF2-40B4-BE49-F238E27FC236}">
                  <a16:creationId xmlns:a16="http://schemas.microsoft.com/office/drawing/2014/main" id="{DA1BF091-56EF-4536-901B-CE3FEAA46EE2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inline>
        </w:drawing>
      </w:r>
    </w:p>
    <w:p w14:paraId="492BD696" w14:textId="77777777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55EAB8DC" w14:textId="77777777" w:rsidR="00B77A43" w:rsidRDefault="00B77A43" w:rsidP="001E396B">
      <w:pPr>
        <w:rPr>
          <w:rFonts w:ascii="Calibri" w:hAnsi="Calibri" w:cs="Calibri"/>
          <w:b/>
          <w:bCs/>
          <w:sz w:val="24"/>
          <w:szCs w:val="24"/>
        </w:rPr>
      </w:pPr>
    </w:p>
    <w:p w14:paraId="4F0E6E7A" w14:textId="77777777" w:rsidR="00B77A43" w:rsidRDefault="00B77A4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3B7EB20A" w14:textId="28C2AA5D" w:rsidR="001E396B" w:rsidRPr="001E396B" w:rsidRDefault="001E396B" w:rsidP="001E396B">
      <w:pPr>
        <w:rPr>
          <w:rFonts w:ascii="Calibri" w:hAnsi="Calibri" w:cs="Calibri"/>
          <w:b/>
          <w:bCs/>
          <w:sz w:val="24"/>
          <w:szCs w:val="24"/>
        </w:rPr>
      </w:pPr>
      <w:r w:rsidRPr="001E396B">
        <w:rPr>
          <w:rFonts w:ascii="Calibri" w:hAnsi="Calibri" w:cs="Calibri"/>
          <w:b/>
          <w:bCs/>
          <w:sz w:val="24"/>
          <w:szCs w:val="24"/>
        </w:rPr>
        <w:lastRenderedPageBreak/>
        <w:t>1st XI - 1st Division - Average Pitch Marks</w:t>
      </w:r>
    </w:p>
    <w:p w14:paraId="62E8A7AD" w14:textId="77777777" w:rsidR="001E396B" w:rsidRPr="001E396B" w:rsidRDefault="001E396B" w:rsidP="001E396B">
      <w:pPr>
        <w:rPr>
          <w:rFonts w:ascii="Calibri" w:hAnsi="Calibri" w:cs="Calibri"/>
          <w:sz w:val="24"/>
          <w:szCs w:val="24"/>
        </w:rPr>
      </w:pPr>
    </w:p>
    <w:tbl>
      <w:tblPr>
        <w:tblW w:w="13116" w:type="dxa"/>
        <w:tblLook w:val="04A0" w:firstRow="1" w:lastRow="0" w:firstColumn="1" w:lastColumn="0" w:noHBand="0" w:noVBand="1"/>
      </w:tblPr>
      <w:tblGrid>
        <w:gridCol w:w="716"/>
        <w:gridCol w:w="500"/>
        <w:gridCol w:w="500"/>
        <w:gridCol w:w="58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500"/>
        <w:gridCol w:w="2820"/>
      </w:tblGrid>
      <w:tr w:rsidR="00B77A43" w:rsidRPr="001E396B" w14:paraId="4C1189E5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044E" w14:textId="2BFAE397" w:rsidR="00B77A43" w:rsidRPr="001E396B" w:rsidRDefault="00B77A43" w:rsidP="001E396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  <w:r w:rsidRPr="001E396B">
              <w:rPr>
                <w:rFonts w:ascii="Calibri" w:eastAsia="Times New Roman" w:hAnsi="Calibri" w:cs="Calibri"/>
                <w:noProof/>
                <w:sz w:val="24"/>
                <w:szCs w:val="24"/>
                <w:lang w:eastAsia="en-GB"/>
              </w:rPr>
              <w:drawing>
                <wp:anchor distT="0" distB="0" distL="114300" distR="114300" simplePos="0" relativeHeight="251662336" behindDoc="0" locked="0" layoutInCell="1" allowOverlap="1" wp14:anchorId="161608FC" wp14:editId="381BD133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13335</wp:posOffset>
                  </wp:positionV>
                  <wp:extent cx="6709410" cy="5711190"/>
                  <wp:effectExtent l="0" t="0" r="15240" b="3810"/>
                  <wp:wrapNone/>
                  <wp:docPr id="6500927" name="Chart 6500927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49D12FB-EB14-41AD-95A4-F18B1A2BF4FA}"/>
                      </a:ext>
                    </a:extLst>
                  </wp:docPr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5"/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0"/>
            </w:tblGrid>
            <w:tr w:rsidR="00B77A43" w:rsidRPr="001E396B" w14:paraId="00A9183D" w14:textId="77777777">
              <w:trPr>
                <w:trHeight w:val="255"/>
                <w:tblCellSpacing w:w="0" w:type="dxa"/>
              </w:trPr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14:paraId="5C09D7CF" w14:textId="77777777" w:rsidR="00B77A43" w:rsidRPr="001E396B" w:rsidRDefault="00B77A43" w:rsidP="001E396B">
                  <w:pPr>
                    <w:rPr>
                      <w:rFonts w:ascii="Calibri" w:eastAsia="Times New Roman" w:hAnsi="Calibri" w:cs="Calibri"/>
                      <w:sz w:val="24"/>
                      <w:szCs w:val="24"/>
                      <w:lang w:eastAsia="en-GB"/>
                    </w:rPr>
                  </w:pPr>
                </w:p>
              </w:tc>
            </w:tr>
          </w:tbl>
          <w:p w14:paraId="72138F2F" w14:textId="77777777" w:rsidR="00B77A43" w:rsidRPr="001E396B" w:rsidRDefault="00B77A43" w:rsidP="001E396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8F2A9" w14:textId="77777777" w:rsidR="00B77A43" w:rsidRPr="001E396B" w:rsidRDefault="00B77A43" w:rsidP="001E396B">
            <w:pPr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323B0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02CB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90AE9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86BA9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B0DD4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F90D72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254C32" w14:textId="08F379B5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E919D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913AB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86C17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B7FE2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9E839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2B657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05AD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092D4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1A50A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953DC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6F179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B4544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4C5E0DFA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E4042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8171C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F72FB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EF724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00CB7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8B5A3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11E29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616A28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22E0A61" w14:textId="729A575E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50F11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3D247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ACDCC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9E4ED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43E08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08908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9C5DF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CD699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5829F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4F6C8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02876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DEEC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30F6492C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4B06D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512EF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842FB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278C3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3A38A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9C140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B8C3E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848380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3F7431" w14:textId="4D65750C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59536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AE10A2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E75E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0EA1C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61D86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B7408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3370D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87C638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03559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F82F8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43BFB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95193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0FEBC4DA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61FB2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ED86D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5A1D3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1F117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EE815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E592E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21BC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55C0C5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31B741" w14:textId="159B641B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50176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E754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5FAB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70E54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1791E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4539F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CD738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D6B24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812CC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9F749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84B0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4F729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5C3B6A2D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EBA97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D07AD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0570A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C0B69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2A014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8081C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04A0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63F1E5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23A224" w14:textId="37515538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0052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E33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95694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39AA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811A2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D49B4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553E6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869F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16BD9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77429E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8CA9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E7E4A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19973538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65314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FCD4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2F30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027CB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77F15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71930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22753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9742EF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F8B58C" w14:textId="7E7C812A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59968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F0644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43CA3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1725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7BCBE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49DFB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176F6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1A988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95ACE5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AB6C4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66876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4AB89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46DA5822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E1751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54F13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6448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70242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77A4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89EF2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A84EF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BE52BB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EAECCB" w14:textId="493B1D70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68AFA0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A6563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46C2B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A7CF0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BEFBE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D22F5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6E405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83F5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93141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75CF1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70D4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E4C80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4A5DB524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73F4E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8738F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A1C0B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66AE38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A8857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151FF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790D1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572A29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F91A6D" w14:textId="21CC4B54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7C25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66FE9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4193D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D06BC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C47E2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27659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24FF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384D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BBDD2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212CF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C5DD5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F90C6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1292BCD6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FB0B3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EACF8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27E92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291E3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7A01A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9EF27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C85DB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97918E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C07FA2" w14:textId="09D55DB8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ED6C9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6C286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58181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9A12E8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82DAC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0F765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3C632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42D0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2F396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BB286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09991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ACE9D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5D2F963D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63234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4D23D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65197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8FD28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8DA55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0D024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E1BE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194104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22A977" w14:textId="15BD7DE9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CC2DF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0D5B8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7D970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18800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3554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1B06A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DB966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26B84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9409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B0640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FA6C0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1985D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4CF3FAD2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A390E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AD99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7A505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76A102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FB42A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38AC0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2D4F1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4FF7DD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3FA2BB" w14:textId="4840B228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2D26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5F680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27AD5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329F5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72B7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EC294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F99FC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746F1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D6835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78C2F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DB95C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58D51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7C4AD4E9" w14:textId="77777777" w:rsidTr="00B77A43">
        <w:trPr>
          <w:trHeight w:val="27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A22D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47F9D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493FA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1B64C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F6C75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4B322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CF9CE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1D123B2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C3B74A" w14:textId="088CCFF2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5B7C8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C44CE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C75DC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065CB7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3AD60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32209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19FED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52C68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9771C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4AA5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38D88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1665C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655CCB21" w14:textId="77777777" w:rsidTr="00B77A43">
        <w:trPr>
          <w:trHeight w:val="270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D6DE2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14C95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37D0CA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909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B019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42827C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8A48F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49C50E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1F1A82" w14:textId="5F74F308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348A5B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50A826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3954E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79FCB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E04B5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EB86E6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6F444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9A09F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7D23D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ED4EA8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3583A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9E9F9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0594BA2A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E98D1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1D5F4C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1D7A0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DFF7D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4332ED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99027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005B9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567398F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407D" w14:textId="1BD85CFA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BA4E1D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78B43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A5B9E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4D9C7A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CD51B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C4E9F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4FA42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A6C8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03300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55FEA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16B6B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3191DB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34661429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5B68CD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45D4B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FD7A2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44A4B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B705CF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AC6BF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B7C27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2D268E9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AB5AB8" w14:textId="2BC12EA1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C40D5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41EF1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7F4A8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5B2E2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8076E5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2081A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A19D3A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D9A98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8495D2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88B64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C6AD3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81AA1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1FB3EF97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20356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AD4EF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BC1DF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D5A52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2EAEA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EF077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FD84E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448E00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7E00EEC" w14:textId="3B39D262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9A9436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8AE3A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44CBB5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EBABBB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CC0122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86391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B49F58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D671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D49449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D8F6C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0D4D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F972B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09FDB667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4FB446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7C075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33AD3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87F6F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19094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85326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EB2B7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7BA17B3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EEFB88B" w14:textId="6AC751FE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D87827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A3E9A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47021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27C0B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19D5B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28E37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DABFE9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53AA2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B42B5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F025F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FEC46E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F855AE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2F898F0E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4B366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2F4F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22CA8F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5B8BB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0AA50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068B51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F8754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350B9AE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B8D4A6" w14:textId="7D0146F2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C2A51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454E4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DA017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B76369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1970A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03DE8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77BF64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A3952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39CC13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AD5DF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8FA46F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72AC9B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102CAB1B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B41E58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10276B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8C4FB8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F1503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F9F2B5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4E8EE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8CC4B9D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0FA4323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07DCC3B" w14:textId="1941E2BD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10D99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27732E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E83CE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5754F4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06FE73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06AD5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B355D9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9553CE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0E74D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3A5067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F4E89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D45779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  <w:tr w:rsidR="00B77A43" w:rsidRPr="001E396B" w14:paraId="078B5060" w14:textId="77777777" w:rsidTr="00B77A43">
        <w:trPr>
          <w:trHeight w:val="255"/>
        </w:trPr>
        <w:tc>
          <w:tcPr>
            <w:tcW w:w="71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CDEE3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EF672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55485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FC41CA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8BE240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7371D7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E30E9C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</w:tcPr>
          <w:p w14:paraId="42D24F01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AB457C8" w14:textId="29267139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39856B8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6439A1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7C89D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6C0598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36EC15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0B8DE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500AE6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BED892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98729AA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15631AF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2BCEB34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7B8ADE" w14:textId="77777777" w:rsidR="00B77A43" w:rsidRPr="001E396B" w:rsidRDefault="00B77A43" w:rsidP="001E396B">
            <w:pPr>
              <w:jc w:val="center"/>
              <w:rPr>
                <w:rFonts w:ascii="Calibri" w:eastAsia="Times New Roman" w:hAnsi="Calibri" w:cs="Calibri"/>
                <w:sz w:val="24"/>
                <w:szCs w:val="24"/>
                <w:lang w:eastAsia="en-GB"/>
              </w:rPr>
            </w:pPr>
          </w:p>
        </w:tc>
      </w:tr>
    </w:tbl>
    <w:p w14:paraId="02F01B84" w14:textId="505C499B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5B545EFD" w14:textId="4B76BDEF" w:rsidR="001E396B" w:rsidRDefault="001E396B" w:rsidP="001E396B">
      <w:pPr>
        <w:rPr>
          <w:rFonts w:ascii="Calibri" w:hAnsi="Calibri" w:cs="Calibri"/>
          <w:b/>
          <w:bCs/>
          <w:sz w:val="24"/>
          <w:szCs w:val="24"/>
        </w:rPr>
      </w:pPr>
    </w:p>
    <w:p w14:paraId="25614787" w14:textId="1B043424" w:rsidR="00B77A43" w:rsidRDefault="00B77A43">
      <w:pPr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br w:type="page"/>
      </w:r>
    </w:p>
    <w:p w14:paraId="7F4ABD0F" w14:textId="77777777" w:rsidR="00B77A43" w:rsidRPr="001E396B" w:rsidRDefault="00B77A43" w:rsidP="001E396B">
      <w:pPr>
        <w:rPr>
          <w:rFonts w:ascii="Calibri" w:hAnsi="Calibri" w:cs="Calibri"/>
          <w:b/>
          <w:bCs/>
          <w:sz w:val="24"/>
          <w:szCs w:val="24"/>
        </w:rPr>
      </w:pPr>
    </w:p>
    <w:p w14:paraId="62198042" w14:textId="77777777" w:rsidR="001E396B" w:rsidRDefault="001E396B" w:rsidP="001E396B">
      <w:pPr>
        <w:rPr>
          <w:rFonts w:ascii="Calibri" w:hAnsi="Calibri" w:cs="Calibri"/>
          <w:b/>
          <w:bCs/>
          <w:sz w:val="24"/>
          <w:szCs w:val="24"/>
        </w:rPr>
      </w:pPr>
      <w:r w:rsidRPr="001E396B">
        <w:rPr>
          <w:rFonts w:ascii="Calibri" w:hAnsi="Calibri" w:cs="Calibri"/>
          <w:b/>
          <w:bCs/>
          <w:sz w:val="24"/>
          <w:szCs w:val="24"/>
        </w:rPr>
        <w:t>1st XI Division 2 - Average Pitch Marks</w:t>
      </w:r>
    </w:p>
    <w:p w14:paraId="6E199435" w14:textId="77777777" w:rsidR="001E396B" w:rsidRPr="001E396B" w:rsidRDefault="001E396B" w:rsidP="001E396B">
      <w:pPr>
        <w:rPr>
          <w:rFonts w:ascii="Calibri" w:hAnsi="Calibri" w:cs="Calibri"/>
          <w:sz w:val="24"/>
          <w:szCs w:val="24"/>
        </w:rPr>
      </w:pPr>
    </w:p>
    <w:p w14:paraId="7F80910E" w14:textId="1F43BFC5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  <w:r w:rsidRPr="001E396B">
        <w:rPr>
          <w:rFonts w:ascii="Calibri" w:hAnsi="Calibri" w:cs="Calibri"/>
          <w:noProof/>
          <w:sz w:val="24"/>
          <w:szCs w:val="24"/>
        </w:rPr>
        <w:drawing>
          <wp:inline distT="0" distB="0" distL="0" distR="0" wp14:anchorId="0520B080" wp14:editId="34C290D6">
            <wp:extent cx="6645910" cy="5602406"/>
            <wp:effectExtent l="0" t="0" r="2540" b="17780"/>
            <wp:docPr id="1" name="Chart 1">
              <a:extLst xmlns:a="http://schemas.openxmlformats.org/drawingml/2006/main">
                <a:ext uri="{FF2B5EF4-FFF2-40B4-BE49-F238E27FC236}">
                  <a16:creationId xmlns:a16="http://schemas.microsoft.com/office/drawing/2014/main" id="{01F5350E-0D6C-4CAE-8951-5A38E7B099C6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1F5A5E3" w14:textId="27E9EFC0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549F7403" w14:textId="04327A13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1F81DC5B" w14:textId="53EF6467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21EB98FD" w14:textId="6658E605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7B7D2BEC" w14:textId="0C0B0256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1D654BA0" w14:textId="5212FD4F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3D8CA4C7" w14:textId="579A4168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53CC07D3" w14:textId="555509B6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3A625FB6" w14:textId="6AFEA5BA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4628BDE4" w14:textId="2409AE45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226F49C3" w14:textId="226D7643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5C5EB990" w14:textId="39019F42" w:rsidR="001E396B" w:rsidRPr="001E396B" w:rsidRDefault="001E396B" w:rsidP="009964AC">
      <w:pPr>
        <w:rPr>
          <w:rFonts w:ascii="Calibri" w:hAnsi="Calibri" w:cs="Calibri"/>
          <w:sz w:val="24"/>
          <w:szCs w:val="24"/>
        </w:rPr>
      </w:pPr>
    </w:p>
    <w:p w14:paraId="0E476791" w14:textId="645CEF2E" w:rsidR="001E396B" w:rsidRDefault="001E396B" w:rsidP="009964AC">
      <w:pPr>
        <w:rPr>
          <w:rFonts w:ascii="Times New Roman" w:hAnsi="Times New Roman" w:cs="Times New Roman"/>
          <w:sz w:val="20"/>
          <w:szCs w:val="20"/>
        </w:rPr>
      </w:pPr>
    </w:p>
    <w:p w14:paraId="5C5098D1" w14:textId="1B03735A" w:rsidR="001E396B" w:rsidRDefault="001E396B" w:rsidP="009964AC">
      <w:pPr>
        <w:rPr>
          <w:rFonts w:ascii="Times New Roman" w:hAnsi="Times New Roman" w:cs="Times New Roman"/>
          <w:sz w:val="20"/>
          <w:szCs w:val="20"/>
        </w:rPr>
      </w:pPr>
    </w:p>
    <w:p w14:paraId="6E6D0CF9" w14:textId="68979F05" w:rsidR="001E396B" w:rsidRDefault="001E396B" w:rsidP="009964AC">
      <w:pPr>
        <w:rPr>
          <w:rFonts w:ascii="Times New Roman" w:hAnsi="Times New Roman" w:cs="Times New Roman"/>
          <w:sz w:val="20"/>
          <w:szCs w:val="20"/>
        </w:rPr>
      </w:pPr>
    </w:p>
    <w:p w14:paraId="1BBC78AE" w14:textId="286E7A56" w:rsidR="001E396B" w:rsidRDefault="001E396B" w:rsidP="009964AC">
      <w:pPr>
        <w:rPr>
          <w:rFonts w:ascii="Times New Roman" w:hAnsi="Times New Roman" w:cs="Times New Roman"/>
          <w:sz w:val="20"/>
          <w:szCs w:val="20"/>
        </w:rPr>
      </w:pPr>
    </w:p>
    <w:p w14:paraId="315807E4" w14:textId="193376B8" w:rsidR="001E396B" w:rsidRDefault="001E396B" w:rsidP="009964AC">
      <w:pPr>
        <w:rPr>
          <w:rFonts w:ascii="Times New Roman" w:hAnsi="Times New Roman" w:cs="Times New Roman"/>
          <w:sz w:val="20"/>
          <w:szCs w:val="20"/>
        </w:rPr>
      </w:pPr>
    </w:p>
    <w:p w14:paraId="665E2FDB" w14:textId="465EDB8B" w:rsidR="001E396B" w:rsidRDefault="001E396B" w:rsidP="009964AC">
      <w:pPr>
        <w:rPr>
          <w:rFonts w:ascii="Times New Roman" w:hAnsi="Times New Roman" w:cs="Times New Roman"/>
          <w:sz w:val="20"/>
          <w:szCs w:val="20"/>
        </w:rPr>
      </w:pPr>
    </w:p>
    <w:p w14:paraId="40194E6B" w14:textId="25E2406E" w:rsidR="001E396B" w:rsidRDefault="001E396B" w:rsidP="009964AC">
      <w:pPr>
        <w:rPr>
          <w:rFonts w:ascii="Times New Roman" w:hAnsi="Times New Roman" w:cs="Times New Roman"/>
          <w:sz w:val="20"/>
          <w:szCs w:val="20"/>
        </w:rPr>
      </w:pPr>
    </w:p>
    <w:p w14:paraId="73CE8277" w14:textId="77777777" w:rsidR="001E396B" w:rsidRPr="00DC5CF9" w:rsidRDefault="001E396B" w:rsidP="009964AC">
      <w:pPr>
        <w:rPr>
          <w:rFonts w:ascii="Times New Roman" w:hAnsi="Times New Roman" w:cs="Times New Roman"/>
          <w:sz w:val="20"/>
          <w:szCs w:val="20"/>
        </w:rPr>
      </w:pPr>
    </w:p>
    <w:sectPr w:rsidR="001E396B" w:rsidRPr="00DC5CF9" w:rsidSect="009964AC">
      <w:pgSz w:w="11906" w:h="16838"/>
      <w:pgMar w:top="720" w:right="720" w:bottom="720" w:left="720" w:header="720" w:footer="720" w:gutter="0"/>
      <w:cols w:space="708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revisionView w:comments="0"/>
  <w:defaultTabStop w:val="720"/>
  <w:drawingGridHorizontalSpacing w:val="200"/>
  <w:drawingGridVerticalSpacing w:val="300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3AB"/>
    <w:rsid w:val="001E396B"/>
    <w:rsid w:val="006C64AE"/>
    <w:rsid w:val="007D70FA"/>
    <w:rsid w:val="009964AC"/>
    <w:rsid w:val="00B323AB"/>
    <w:rsid w:val="00B77A43"/>
    <w:rsid w:val="00C66634"/>
    <w:rsid w:val="00DC5C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1E6C96"/>
  <w15:chartTrackingRefBased/>
  <w15:docId w15:val="{A1D28DD3-75C8-48DE-B4DB-E08CAF8A0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1E39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572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3.xml"/><Relationship Id="rId5" Type="http://schemas.openxmlformats.org/officeDocument/2006/relationships/chart" Target="charts/chart2.xml"/><Relationship Id="rId4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J:\Cricket\0001%20ldcc%20post%20June%202010\Club%20&amp;%20Ground\2021\Jim%20Hathaway%20C&amp;G%20Report%202021\2%20-%202021%20-%20Umpire%20Marks%20-%20Division%201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J:\Cricket\0001%20ldcc%20post%20June%202010\Club%20&amp;%20Ground\2021\Jim%20Hathaway%20C&amp;G%20Report%202021\3%20-%202021%20-%20Umpire%20Marks%20-%20Division%202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1st XI ECB Premier League - Average Pitch</a:t>
            </a:r>
            <a:r>
              <a:rPr lang="en-GB" sz="12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Marks</a:t>
            </a:r>
            <a:endParaRPr lang="en-GB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7550484259642988"/>
          <c:y val="2.6966292134831461E-2"/>
        </c:manualLayout>
      </c:layout>
      <c:overlay val="0"/>
      <c:spPr>
        <a:solidFill>
          <a:srgbClr val="FFFF00"/>
        </a:solidFill>
        <a:ln w="19050">
          <a:solidFill>
            <a:schemeClr val="tx1"/>
          </a:solidFill>
        </a:ln>
        <a:effectLst/>
      </c:spPr>
    </c:title>
    <c:autoTitleDeleted val="0"/>
    <c:plotArea>
      <c:layout>
        <c:manualLayout>
          <c:layoutTarget val="inner"/>
          <c:xMode val="edge"/>
          <c:yMode val="edge"/>
          <c:x val="0.1052600881030222"/>
          <c:y val="0.10924231048136097"/>
          <c:w val="0.87437331737041646"/>
          <c:h val="0.5351396723331344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25400">
              <a:solidFill>
                <a:srgbClr val="FF0000"/>
              </a:solidFill>
              <a:prstDash val="solid"/>
            </a:ln>
          </c:spPr>
          <c:invertIfNegative val="0"/>
          <c:dLbls>
            <c:spPr>
              <a:pattFill prst="pct90">
                <a:fgClr>
                  <a:srgbClr val="FFFF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Averages!$A$36:$A$47</c:f>
              <c:strCache>
                <c:ptCount val="12"/>
                <c:pt idx="0">
                  <c:v>Southport &amp; Birkdale</c:v>
                </c:pt>
                <c:pt idx="1">
                  <c:v>Ormskirk</c:v>
                </c:pt>
                <c:pt idx="2">
                  <c:v>Northern</c:v>
                </c:pt>
                <c:pt idx="3">
                  <c:v>Orrell Red Triangle</c:v>
                </c:pt>
                <c:pt idx="4">
                  <c:v>Wigan</c:v>
                </c:pt>
                <c:pt idx="5">
                  <c:v>New Brighton</c:v>
                </c:pt>
                <c:pt idx="6">
                  <c:v>Formby</c:v>
                </c:pt>
                <c:pt idx="7">
                  <c:v>Rainhill</c:v>
                </c:pt>
                <c:pt idx="8">
                  <c:v>Leigh</c:v>
                </c:pt>
                <c:pt idx="9">
                  <c:v>Sefton Park</c:v>
                </c:pt>
                <c:pt idx="10">
                  <c:v>Wallasey</c:v>
                </c:pt>
                <c:pt idx="11">
                  <c:v>Bootle</c:v>
                </c:pt>
              </c:strCache>
            </c:strRef>
          </c:cat>
          <c:val>
            <c:numRef>
              <c:f>Averages!$B$36:$B$47</c:f>
              <c:numCache>
                <c:formatCode>0.0</c:formatCode>
                <c:ptCount val="12"/>
                <c:pt idx="0">
                  <c:v>18</c:v>
                </c:pt>
                <c:pt idx="1">
                  <c:v>16.75</c:v>
                </c:pt>
                <c:pt idx="2">
                  <c:v>16.545454545454547</c:v>
                </c:pt>
                <c:pt idx="3">
                  <c:v>16.5</c:v>
                </c:pt>
                <c:pt idx="4">
                  <c:v>16.444444444444443</c:v>
                </c:pt>
                <c:pt idx="5">
                  <c:v>16.399999999999999</c:v>
                </c:pt>
                <c:pt idx="6">
                  <c:v>16.333333333333332</c:v>
                </c:pt>
                <c:pt idx="7">
                  <c:v>16.25</c:v>
                </c:pt>
                <c:pt idx="8">
                  <c:v>16.111111111111111</c:v>
                </c:pt>
                <c:pt idx="9">
                  <c:v>15.9</c:v>
                </c:pt>
                <c:pt idx="10">
                  <c:v>15.9</c:v>
                </c:pt>
                <c:pt idx="11">
                  <c:v>15.111111111111111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BDF-496F-A628-EF1CC45D25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83059519"/>
        <c:axId val="1"/>
      </c:barChart>
      <c:catAx>
        <c:axId val="383059519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20"/>
          <c:min val="6"/>
        </c:scaling>
        <c:delete val="0"/>
        <c:axPos val="l"/>
        <c:majorGridlines>
          <c:spPr>
            <a:ln w="19050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" sourceLinked="0"/>
        <c:majorTickMark val="out"/>
        <c:minorTickMark val="in"/>
        <c:tickLblPos val="nextTo"/>
        <c:spPr>
          <a:ln w="19050">
            <a:solidFill>
              <a:schemeClr val="tx1"/>
            </a:solidFill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383059519"/>
        <c:crosses val="autoZero"/>
        <c:crossBetween val="between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2540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1st XI - 1st</a:t>
            </a:r>
            <a:r>
              <a:rPr lang="en-GB" sz="12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Division</a:t>
            </a:r>
            <a:r>
              <a:rPr lang="en-GB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- Average Pitch</a:t>
            </a:r>
            <a:r>
              <a:rPr lang="en-GB" sz="12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Marks</a:t>
            </a:r>
            <a:endParaRPr lang="en-GB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solidFill>
          <a:srgbClr val="FFFF00"/>
        </a:solidFill>
        <a:ln w="19050">
          <a:solidFill>
            <a:schemeClr val="tx1"/>
          </a:solidFill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25400">
              <a:solidFill>
                <a:srgbClr val="FF0000"/>
              </a:solidFill>
              <a:prstDash val="solid"/>
            </a:ln>
          </c:spPr>
          <c:invertIfNegative val="0"/>
          <c:dLbls>
            <c:spPr>
              <a:pattFill prst="pct90">
                <a:fgClr>
                  <a:srgbClr val="FFFF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Averages!$A$36:$A$47</c:f>
              <c:strCache>
                <c:ptCount val="12"/>
                <c:pt idx="0">
                  <c:v>Northop Hall</c:v>
                </c:pt>
                <c:pt idx="1">
                  <c:v>Liverpool</c:v>
                </c:pt>
                <c:pt idx="2">
                  <c:v>Old Xavarians</c:v>
                </c:pt>
                <c:pt idx="3">
                  <c:v>Colwyn Bay</c:v>
                </c:pt>
                <c:pt idx="4">
                  <c:v>Birkenhead Park</c:v>
                </c:pt>
                <c:pt idx="5">
                  <c:v>Rainford</c:v>
                </c:pt>
                <c:pt idx="6">
                  <c:v>Ainsdale</c:v>
                </c:pt>
                <c:pt idx="7">
                  <c:v>Newton Le Willows</c:v>
                </c:pt>
                <c:pt idx="8">
                  <c:v>Lytham</c:v>
                </c:pt>
                <c:pt idx="9">
                  <c:v>Highfield</c:v>
                </c:pt>
                <c:pt idx="10">
                  <c:v>Fleetwood Hesketh</c:v>
                </c:pt>
                <c:pt idx="11">
                  <c:v>St Helens</c:v>
                </c:pt>
              </c:strCache>
            </c:strRef>
          </c:cat>
          <c:val>
            <c:numRef>
              <c:f>Averages!$B$36:$B$47</c:f>
              <c:numCache>
                <c:formatCode>0.0</c:formatCode>
                <c:ptCount val="12"/>
                <c:pt idx="0">
                  <c:v>17.857142857142858</c:v>
                </c:pt>
                <c:pt idx="1">
                  <c:v>17.7</c:v>
                </c:pt>
                <c:pt idx="2">
                  <c:v>17.3</c:v>
                </c:pt>
                <c:pt idx="3">
                  <c:v>17.111111111111111</c:v>
                </c:pt>
                <c:pt idx="4">
                  <c:v>16.7</c:v>
                </c:pt>
                <c:pt idx="5">
                  <c:v>16.25</c:v>
                </c:pt>
                <c:pt idx="6">
                  <c:v>16.222222222222221</c:v>
                </c:pt>
                <c:pt idx="7">
                  <c:v>15.5</c:v>
                </c:pt>
                <c:pt idx="8">
                  <c:v>15.4</c:v>
                </c:pt>
                <c:pt idx="9">
                  <c:v>14.555555555555555</c:v>
                </c:pt>
                <c:pt idx="10">
                  <c:v>14.1</c:v>
                </c:pt>
                <c:pt idx="11">
                  <c:v>12.222222222222221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BA0-4941-9A4C-E0678FB89A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4396960"/>
        <c:axId val="1"/>
      </c:barChart>
      <c:catAx>
        <c:axId val="55439696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20"/>
          <c:min val="8"/>
        </c:scaling>
        <c:delete val="0"/>
        <c:axPos val="l"/>
        <c:majorGridlines>
          <c:spPr>
            <a:ln w="19050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" sourceLinked="0"/>
        <c:majorTickMark val="out"/>
        <c:minorTickMark val="in"/>
        <c:tickLblPos val="nextTo"/>
        <c:spPr>
          <a:ln w="19050">
            <a:solidFill>
              <a:schemeClr val="tx1"/>
            </a:solidFill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554396960"/>
        <c:crosses val="autoZero"/>
        <c:crossBetween val="between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en-GB" sz="1200" b="1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1st XI Division 2 - Average Pitch</a:t>
            </a:r>
            <a:r>
              <a:rPr lang="en-GB" sz="1200" b="1" baseline="0">
                <a:solidFill>
                  <a:sysClr val="windowText" lastClr="000000"/>
                </a:solidFill>
                <a:latin typeface="Arial" panose="020B0604020202020204" pitchFamily="34" charset="0"/>
                <a:cs typeface="Arial" panose="020B0604020202020204" pitchFamily="34" charset="0"/>
              </a:rPr>
              <a:t> Marks</a:t>
            </a:r>
            <a:endParaRPr lang="en-GB" sz="1200" b="1">
              <a:solidFill>
                <a:sysClr val="windowText" lastClr="000000"/>
              </a:solidFill>
              <a:latin typeface="Arial" panose="020B0604020202020204" pitchFamily="34" charset="0"/>
              <a:cs typeface="Arial" panose="020B0604020202020204" pitchFamily="34" charset="0"/>
            </a:endParaRPr>
          </a:p>
        </c:rich>
      </c:tx>
      <c:overlay val="0"/>
      <c:spPr>
        <a:solidFill>
          <a:srgbClr val="FFFF00"/>
        </a:solidFill>
        <a:ln w="19050">
          <a:solidFill>
            <a:schemeClr val="tx1"/>
          </a:solidFill>
        </a:ln>
        <a:effectLst/>
      </c:sp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rgbClr val="00B050"/>
            </a:solidFill>
            <a:ln w="25400">
              <a:solidFill>
                <a:srgbClr val="FF0000"/>
              </a:solidFill>
              <a:prstDash val="solid"/>
            </a:ln>
          </c:spPr>
          <c:invertIfNegative val="0"/>
          <c:dLbls>
            <c:spPr>
              <a:pattFill prst="pct90">
                <a:fgClr>
                  <a:srgbClr val="FFFF00"/>
                </a:fgClr>
                <a:bgClr>
                  <a:schemeClr val="bg1"/>
                </a:bgClr>
              </a:pattFill>
              <a:ln>
                <a:solidFill>
                  <a:schemeClr val="tx1"/>
                </a:solidFill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Averages!$A$36:$A$47</c:f>
              <c:strCache>
                <c:ptCount val="12"/>
                <c:pt idx="0">
                  <c:v>Wavertree</c:v>
                </c:pt>
                <c:pt idx="1">
                  <c:v>Southport Trinity</c:v>
                </c:pt>
                <c:pt idx="2">
                  <c:v>Maghull</c:v>
                </c:pt>
                <c:pt idx="3">
                  <c:v>Alder</c:v>
                </c:pt>
                <c:pt idx="4">
                  <c:v>Spring View</c:v>
                </c:pt>
                <c:pt idx="5">
                  <c:v>Norley Hall</c:v>
                </c:pt>
                <c:pt idx="6">
                  <c:v>Prestatyn</c:v>
                </c:pt>
                <c:pt idx="7">
                  <c:v>Sutton</c:v>
                </c:pt>
                <c:pt idx="8">
                  <c:v>Hightown</c:v>
                </c:pt>
                <c:pt idx="9">
                  <c:v>Parkfield Liscard</c:v>
                </c:pt>
                <c:pt idx="10">
                  <c:v>Caldy</c:v>
                </c:pt>
                <c:pt idx="11">
                  <c:v>XXX</c:v>
                </c:pt>
              </c:strCache>
            </c:strRef>
          </c:cat>
          <c:val>
            <c:numRef>
              <c:f>Averages!$B$36:$B$47</c:f>
              <c:numCache>
                <c:formatCode>0.0</c:formatCode>
                <c:ptCount val="12"/>
                <c:pt idx="0">
                  <c:v>18.444444444444443</c:v>
                </c:pt>
                <c:pt idx="1">
                  <c:v>18.222222222222221</c:v>
                </c:pt>
                <c:pt idx="2">
                  <c:v>17.333333333333332</c:v>
                </c:pt>
                <c:pt idx="3">
                  <c:v>17.125</c:v>
                </c:pt>
                <c:pt idx="4">
                  <c:v>16.75</c:v>
                </c:pt>
                <c:pt idx="5">
                  <c:v>16.555555555555557</c:v>
                </c:pt>
                <c:pt idx="6">
                  <c:v>16.25</c:v>
                </c:pt>
                <c:pt idx="7">
                  <c:v>16</c:v>
                </c:pt>
                <c:pt idx="8">
                  <c:v>15.5</c:v>
                </c:pt>
                <c:pt idx="9">
                  <c:v>15.25</c:v>
                </c:pt>
                <c:pt idx="10">
                  <c:v>14.333333333333334</c:v>
                </c:pt>
                <c:pt idx="1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485-473E-B8DF-D2CB156E186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550720952"/>
        <c:axId val="1"/>
      </c:barChart>
      <c:catAx>
        <c:axId val="55072095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 w="19050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1"/>
        <c:crosses val="autoZero"/>
        <c:auto val="1"/>
        <c:lblAlgn val="ctr"/>
        <c:lblOffset val="100"/>
        <c:noMultiLvlLbl val="0"/>
      </c:catAx>
      <c:valAx>
        <c:axId val="1"/>
        <c:scaling>
          <c:orientation val="minMax"/>
          <c:max val="20"/>
          <c:min val="6"/>
        </c:scaling>
        <c:delete val="0"/>
        <c:axPos val="l"/>
        <c:majorGridlines>
          <c:spPr>
            <a:ln w="15875" cap="flat" cmpd="sng" algn="ctr">
              <a:solidFill>
                <a:schemeClr val="tx1"/>
              </a:solidFill>
              <a:round/>
            </a:ln>
            <a:effectLst/>
          </c:spPr>
        </c:majorGridlines>
        <c:numFmt formatCode="0" sourceLinked="0"/>
        <c:majorTickMark val="out"/>
        <c:minorTickMark val="in"/>
        <c:tickLblPos val="nextTo"/>
        <c:spPr>
          <a:ln w="19050">
            <a:solidFill>
              <a:schemeClr val="tx1"/>
            </a:solidFill>
          </a:ln>
        </c:spPr>
        <c:txPr>
          <a:bodyPr rot="-60000000" spcFirstLastPara="1" vertOverflow="ellipsis" vert="horz" wrap="square" anchor="ctr" anchorCtr="1"/>
          <a:lstStyle/>
          <a:p>
            <a:pPr>
              <a:defRPr sz="1200" b="1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+mn-cs"/>
              </a:defRPr>
            </a:pPr>
            <a:endParaRPr lang="en-US"/>
          </a:p>
        </c:txPr>
        <c:crossAx val="550720952"/>
        <c:crosses val="autoZero"/>
        <c:crossBetween val="between"/>
        <c:majorUnit val="2"/>
      </c:valAx>
      <c:spPr>
        <a:noFill/>
        <a:ln w="25400">
          <a:noFill/>
        </a:ln>
      </c:spPr>
    </c:plotArea>
    <c:plotVisOnly val="1"/>
    <c:dispBlanksAs val="gap"/>
    <c:showDLblsOverMax val="0"/>
  </c:chart>
  <c:spPr>
    <a:solidFill>
      <a:schemeClr val="bg1"/>
    </a:solidFill>
    <a:ln w="19050" cap="flat" cmpd="sng" algn="ctr">
      <a:solidFill>
        <a:schemeClr val="tx1"/>
      </a:solidFill>
      <a:round/>
    </a:ln>
    <a:effectLst/>
  </c:spPr>
  <c:txPr>
    <a:bodyPr/>
    <a:lstStyle/>
    <a:p>
      <a:pPr>
        <a:defRPr/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Weston</dc:creator>
  <cp:keywords/>
  <dc:description/>
  <cp:lastModifiedBy>Chris Weston</cp:lastModifiedBy>
  <cp:revision>2</cp:revision>
  <dcterms:created xsi:type="dcterms:W3CDTF">2021-10-25T18:18:00Z</dcterms:created>
  <dcterms:modified xsi:type="dcterms:W3CDTF">2021-10-25T18:34:00Z</dcterms:modified>
</cp:coreProperties>
</file>